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0348ED" w:rsidRPr="00B15B24" w:rsidRDefault="00F30C2A" w:rsidP="00F007C7">
            <w:pPr>
              <w:pStyle w:val="Header"/>
              <w:rPr>
                <w:highlight w:val="yellow"/>
              </w:rPr>
            </w:pPr>
            <w:r>
              <w:t>ARM1-7.1.8 (</w:t>
            </w:r>
            <w:r w:rsidR="00DE629D" w:rsidRPr="00F30C2A">
              <w:t>ENAV15-14.1.7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A30E9E">
              <w:t xml:space="preserve">IALA </w:t>
            </w:r>
            <w:r w:rsidR="00D91DC1">
              <w:t>committee</w:t>
            </w:r>
            <w:r w:rsidR="00A30E9E">
              <w:t>s and PAP</w:t>
            </w:r>
          </w:p>
        </w:tc>
        <w:tc>
          <w:tcPr>
            <w:tcW w:w="5461" w:type="dxa"/>
          </w:tcPr>
          <w:p w:rsidR="000348ED" w:rsidRPr="00B15B24" w:rsidRDefault="00A30E9E" w:rsidP="00955EDE">
            <w:pPr>
              <w:jc w:val="right"/>
            </w:pPr>
            <w:r>
              <w:t>15 October</w:t>
            </w:r>
            <w:r w:rsidR="005D05AC" w:rsidRPr="00B15B24">
              <w:t xml:space="preserve"> 20</w:t>
            </w:r>
            <w:r w:rsidR="001A654A">
              <w:t>1</w:t>
            </w:r>
            <w:r w:rsidR="00D91DC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A014F3" w:rsidRPr="00A014F3" w:rsidRDefault="00A014F3" w:rsidP="00A014F3">
      <w:pPr>
        <w:rPr>
          <w:lang w:eastAsia="de-DE"/>
        </w:rPr>
      </w:pPr>
      <w:r>
        <w:rPr>
          <w:lang w:eastAsia="de-DE"/>
        </w:rPr>
        <w:t>The ENAV Committee woul</w:t>
      </w:r>
      <w:r w:rsidR="00540912">
        <w:rPr>
          <w:lang w:eastAsia="de-DE"/>
        </w:rPr>
        <w:t xml:space="preserve">d like to inform ARM, VTS, ENG </w:t>
      </w:r>
      <w:r>
        <w:rPr>
          <w:lang w:eastAsia="de-DE"/>
        </w:rPr>
        <w:t xml:space="preserve">and PAP about the progress of product specifications under development and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 xml:space="preserve">Proposed Product Specification Numbering Scheme for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>IALA Domains</w:t>
      </w:r>
      <w:r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A014F3" w:rsidRDefault="00A014F3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takes note of the Annex</w:t>
      </w:r>
      <w:r w:rsidR="00540912">
        <w:rPr>
          <w:lang w:eastAsia="de-DE"/>
        </w:rPr>
        <w:t xml:space="preserve"> and comment as appropriate. </w:t>
      </w:r>
    </w:p>
    <w:p w:rsidR="00581186" w:rsidRDefault="00A30E9E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appoints a Field manager for the designated fields if not already done so.</w:t>
      </w:r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p w:rsidR="005545F6" w:rsidRPr="00C2732A" w:rsidRDefault="005545F6" w:rsidP="005545F6">
      <w:pPr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>Proposed Product Specification Numbering Scheme for IALA Domains</w:t>
      </w:r>
    </w:p>
    <w:p w:rsidR="005545F6" w:rsidRPr="00C2732A" w:rsidRDefault="005545F6" w:rsidP="005545F6">
      <w:pPr>
        <w:rPr>
          <w:rFonts w:cs="Arial"/>
          <w:szCs w:val="21"/>
        </w:rPr>
      </w:pP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S-201 to S-209 AtoN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S-210 to S-229 VTS (IVEF, MSI,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S-230 to S-239 e-</w:t>
      </w:r>
      <w:proofErr w:type="spellStart"/>
      <w:r w:rsidRPr="00C2732A">
        <w:rPr>
          <w:rFonts w:cs="Arial"/>
          <w:szCs w:val="21"/>
        </w:rPr>
        <w:t>Nav</w:t>
      </w:r>
      <w:proofErr w:type="spellEnd"/>
      <w:r w:rsidRPr="00C2732A">
        <w:rPr>
          <w:rFonts w:cs="Arial"/>
          <w:szCs w:val="21"/>
        </w:rPr>
        <w:t xml:space="preserve"> </w:t>
      </w:r>
      <w:proofErr w:type="spellStart"/>
      <w:r w:rsidRPr="00C2732A">
        <w:rPr>
          <w:rFonts w:cs="Arial"/>
          <w:szCs w:val="21"/>
        </w:rPr>
        <w:t>Comms</w:t>
      </w:r>
      <w:proofErr w:type="spellEnd"/>
      <w:r w:rsidRPr="00C2732A">
        <w:rPr>
          <w:rFonts w:cs="Arial"/>
          <w:szCs w:val="21"/>
        </w:rPr>
        <w:t xml:space="preserve"> (VDES, ASM,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S-240 to S-249 Shore technical Infrastructure (PNT, e-loran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proofErr w:type="gramStart"/>
      <w:r w:rsidRPr="00C2732A">
        <w:rPr>
          <w:rFonts w:cs="Arial"/>
          <w:szCs w:val="21"/>
        </w:rPr>
        <w:t>IALA S-250 to S-299 T.B.D.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5545F6" w:rsidTr="002A113D">
        <w:tc>
          <w:tcPr>
            <w:tcW w:w="2943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</w:t>
            </w:r>
          </w:p>
        </w:tc>
        <w:tc>
          <w:tcPr>
            <w:tcW w:w="3567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Description</w:t>
            </w:r>
          </w:p>
        </w:tc>
        <w:tc>
          <w:tcPr>
            <w:tcW w:w="3344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 Manager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S-201 to S-209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AtoN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</w:pPr>
            <w:r>
              <w:t xml:space="preserve">Martin </w:t>
            </w:r>
            <w:proofErr w:type="spellStart"/>
            <w:r>
              <w:t>Bransby</w:t>
            </w:r>
            <w:proofErr w:type="spellEnd"/>
          </w:p>
          <w:p w:rsidR="005545F6" w:rsidRDefault="005545F6" w:rsidP="002A113D">
            <w:pPr>
              <w:pStyle w:val="BodyText"/>
            </w:pPr>
            <w:r>
              <w:t xml:space="preserve">General Lighthouse Authorities of UK &amp; Ireland, </w:t>
            </w:r>
          </w:p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>
              <w:t>martin.bransby@gla-rrnav.org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S-210 to S-229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VTS (IVEF, MSI,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S-230 to S-239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e-</w:t>
            </w:r>
            <w:proofErr w:type="spellStart"/>
            <w:r w:rsidRPr="00221EAC">
              <w:rPr>
                <w:rFonts w:cs="Arial"/>
                <w:szCs w:val="21"/>
              </w:rPr>
              <w:t>Nav</w:t>
            </w:r>
            <w:proofErr w:type="spellEnd"/>
            <w:r w:rsidRPr="00221EAC">
              <w:rPr>
                <w:rFonts w:cs="Arial"/>
                <w:szCs w:val="21"/>
              </w:rPr>
              <w:t xml:space="preserve"> </w:t>
            </w:r>
            <w:proofErr w:type="spellStart"/>
            <w:r w:rsidRPr="00221EAC">
              <w:rPr>
                <w:rFonts w:cs="Arial"/>
                <w:szCs w:val="21"/>
              </w:rPr>
              <w:t>Comms</w:t>
            </w:r>
            <w:proofErr w:type="spellEnd"/>
            <w:r w:rsidRPr="00221EAC">
              <w:rPr>
                <w:rFonts w:cs="Arial"/>
                <w:szCs w:val="21"/>
              </w:rPr>
              <w:t xml:space="preserve"> (VDES, ASM,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Default="005545F6" w:rsidP="002A113D">
            <w:r w:rsidRPr="00221EAC">
              <w:rPr>
                <w:rFonts w:cs="Arial"/>
                <w:szCs w:val="21"/>
              </w:rPr>
              <w:t xml:space="preserve">IALA S-240 to S-249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Shore technical Infrastructure (PNT, e-loran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</w:tbl>
    <w:p w:rsidR="005545F6" w:rsidRPr="00C2732A" w:rsidRDefault="005545F6" w:rsidP="005545F6">
      <w:pPr>
        <w:spacing w:after="120"/>
        <w:rPr>
          <w:rFonts w:cs="Arial"/>
          <w:szCs w:val="21"/>
        </w:rPr>
      </w:pPr>
    </w:p>
    <w:p w:rsidR="005545F6" w:rsidRPr="005545F6" w:rsidRDefault="005545F6" w:rsidP="005545F6">
      <w:pPr>
        <w:spacing w:after="120"/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 xml:space="preserve">Current status and responsibilities </w:t>
      </w:r>
    </w:p>
    <w:tbl>
      <w:tblPr>
        <w:tblW w:w="455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11"/>
        <w:gridCol w:w="3280"/>
        <w:gridCol w:w="1760"/>
      </w:tblGrid>
      <w:tr w:rsidR="005545F6" w:rsidRPr="00C2732A" w:rsidTr="002A113D">
        <w:trPr>
          <w:trHeight w:val="5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PS No.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Title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PS </w:t>
            </w: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Developer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Status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S-201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Aids to Navigation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IALA TG1</w:t>
            </w:r>
          </w:p>
          <w:p w:rsidR="005545F6" w:rsidRPr="002319BE" w:rsidRDefault="005545F6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r w:rsidRPr="002319BE">
              <w:rPr>
                <w:rFonts w:eastAsia="Gulim" w:cs="Arial"/>
                <w:sz w:val="20"/>
                <w:lang w:val="nl-NL" w:eastAsia="ko-KR"/>
              </w:rPr>
              <w:t>N Ward</w:t>
            </w:r>
          </w:p>
          <w:p w:rsidR="005545F6" w:rsidRPr="002319BE" w:rsidRDefault="00F30C2A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hyperlink r:id="rId9" w:history="1">
              <w:r w:rsidR="005545F6" w:rsidRPr="002319BE">
                <w:rPr>
                  <w:rFonts w:eastAsia="Malgun Gothic" w:cs="Arial"/>
                  <w:color w:val="0000FF"/>
                  <w:sz w:val="20"/>
                  <w:u w:val="single"/>
                  <w:lang w:val="nl-NL"/>
                </w:rPr>
                <w:t>nick.ward@gla-rrnav.org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S-210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Inter VTS Exchange Format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VTS WG2</w:t>
            </w:r>
          </w:p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 xml:space="preserve">R </w:t>
            </w:r>
            <w:proofErr w:type="spellStart"/>
            <w:r>
              <w:rPr>
                <w:rFonts w:eastAsia="Gulim" w:cs="Arial"/>
                <w:sz w:val="20"/>
                <w:lang w:val="en-US" w:eastAsia="ko-KR"/>
              </w:rPr>
              <w:t>H</w:t>
            </w:r>
            <w:r w:rsidRPr="00C2732A">
              <w:rPr>
                <w:rFonts w:eastAsia="Gulim" w:cs="Arial"/>
                <w:sz w:val="20"/>
                <w:lang w:val="en-US" w:eastAsia="ko-KR"/>
              </w:rPr>
              <w:t>ogendoorn</w:t>
            </w:r>
            <w:proofErr w:type="spellEnd"/>
          </w:p>
          <w:p w:rsidR="005545F6" w:rsidRPr="00C2732A" w:rsidRDefault="00F30C2A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0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rene.hogendoorn@hitt.nl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S-220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Maritime Safety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F30C2A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1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>Development ceased</w:t>
            </w:r>
            <w:r>
              <w:rPr>
                <w:rStyle w:val="EndnoteReference"/>
                <w:rFonts w:eastAsia="Gulim" w:cs="Arial"/>
                <w:sz w:val="20"/>
                <w:lang w:val="en-US" w:eastAsia="ko-KR"/>
              </w:rPr>
              <w:endnoteReference w:id="1"/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S-230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Application Specific Messages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F30C2A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2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DGNSS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color w:val="FF0000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Y Cho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S-245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ASF Data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F30C2A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3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S-246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F30C2A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4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</w:tbl>
    <w:p w:rsidR="005545F6" w:rsidRPr="00C2732A" w:rsidRDefault="005545F6" w:rsidP="005545F6">
      <w:pPr>
        <w:autoSpaceDE w:val="0"/>
        <w:autoSpaceDN w:val="0"/>
        <w:adjustRightInd w:val="0"/>
        <w:spacing w:after="120"/>
        <w:rPr>
          <w:rFonts w:cs="Arial"/>
        </w:rPr>
      </w:pPr>
      <w:r w:rsidRPr="00C2732A">
        <w:rPr>
          <w:rFonts w:cs="Arial"/>
        </w:rPr>
        <w:t>(</w:t>
      </w:r>
      <w:proofErr w:type="gramStart"/>
      <w:r w:rsidRPr="00C2732A">
        <w:rPr>
          <w:rFonts w:cs="Arial"/>
        </w:rPr>
        <w:t>allocation</w:t>
      </w:r>
      <w:proofErr w:type="gramEnd"/>
      <w:r w:rsidRPr="00C2732A">
        <w:rPr>
          <w:rFonts w:cs="Arial"/>
        </w:rPr>
        <w:t xml:space="preserve"> of numbers is provisional)</w:t>
      </w:r>
    </w:p>
    <w:p w:rsidR="005545F6" w:rsidRDefault="005545F6" w:rsidP="005545F6">
      <w:pPr>
        <w:rPr>
          <w:lang w:eastAsia="de-DE"/>
        </w:rPr>
      </w:pPr>
    </w:p>
    <w:sectPr w:rsidR="005545F6" w:rsidSect="005D05AC">
      <w:foot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3C" w:rsidRDefault="00E9273C" w:rsidP="00002906">
      <w:r>
        <w:separator/>
      </w:r>
    </w:p>
  </w:endnote>
  <w:endnote w:type="continuationSeparator" w:id="0">
    <w:p w:rsidR="00E9273C" w:rsidRDefault="00E9273C" w:rsidP="00002906">
      <w:r>
        <w:continuationSeparator/>
      </w:r>
    </w:p>
  </w:endnote>
  <w:endnote w:id="1">
    <w:p w:rsidR="005545F6" w:rsidRPr="002932C6" w:rsidRDefault="005545F6" w:rsidP="005545F6">
      <w:pPr>
        <w:pStyle w:val="EndnoteText"/>
      </w:pPr>
      <w:r>
        <w:rPr>
          <w:rStyle w:val="EndnoteReference"/>
        </w:rPr>
        <w:endnoteRef/>
      </w:r>
      <w:r>
        <w:t xml:space="preserve"> MSI PS is further developed by</w:t>
      </w:r>
      <w:r w:rsidRPr="002932C6">
        <w:t xml:space="preserve"> IHO as S-124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30C2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3C" w:rsidRDefault="00E9273C" w:rsidP="00002906">
      <w:r>
        <w:separator/>
      </w:r>
    </w:p>
  </w:footnote>
  <w:footnote w:type="continuationSeparator" w:id="0">
    <w:p w:rsidR="00E9273C" w:rsidRDefault="00E9273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08E7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66BED"/>
    <w:rsid w:val="002A798A"/>
    <w:rsid w:val="002C17AE"/>
    <w:rsid w:val="002D2E92"/>
    <w:rsid w:val="00330818"/>
    <w:rsid w:val="003600E1"/>
    <w:rsid w:val="003C5CAE"/>
    <w:rsid w:val="003D55DD"/>
    <w:rsid w:val="003E1831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40912"/>
    <w:rsid w:val="005545F6"/>
    <w:rsid w:val="00581186"/>
    <w:rsid w:val="005C7EBA"/>
    <w:rsid w:val="005D05AC"/>
    <w:rsid w:val="005D6932"/>
    <w:rsid w:val="005F4EB8"/>
    <w:rsid w:val="00600C54"/>
    <w:rsid w:val="00607152"/>
    <w:rsid w:val="00630F7F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66169"/>
    <w:rsid w:val="00E9273C"/>
    <w:rsid w:val="00E93C9B"/>
    <w:rsid w:val="00EA43BC"/>
    <w:rsid w:val="00EA7ACA"/>
    <w:rsid w:val="00EC3729"/>
    <w:rsid w:val="00EE3F2F"/>
    <w:rsid w:val="00F007C7"/>
    <w:rsid w:val="00F30C2A"/>
    <w:rsid w:val="00F3488E"/>
    <w:rsid w:val="00F665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o@dma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o@dma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ene.hogendoorn@hit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ck.ward@gla-rrnav.org" TargetMode="External"/><Relationship Id="rId14" Type="http://schemas.openxmlformats.org/officeDocument/2006/relationships/hyperlink" Target="mailto:paul.williams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8DEAA-5706-410E-809B-10E5080F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3</TotalTime>
  <Pages>2</Pages>
  <Words>254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Wim</cp:lastModifiedBy>
  <cp:revision>3</cp:revision>
  <cp:lastPrinted>2006-10-19T09:49:00Z</cp:lastPrinted>
  <dcterms:created xsi:type="dcterms:W3CDTF">2014-10-16T09:08:00Z</dcterms:created>
  <dcterms:modified xsi:type="dcterms:W3CDTF">2014-10-22T16:45:00Z</dcterms:modified>
</cp:coreProperties>
</file>